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9" w:rsidRDefault="00B77CDB">
      <w:pPr>
        <w:spacing w:before="63" w:line="276" w:lineRule="exact"/>
        <w:ind w:left="5526"/>
        <w:rPr>
          <w:b/>
          <w:sz w:val="24"/>
        </w:rPr>
      </w:pPr>
      <w:r>
        <w:rPr>
          <w:b/>
          <w:sz w:val="24"/>
        </w:rPr>
        <w:t>DATASKYDDSBESKRIVNING</w:t>
      </w:r>
    </w:p>
    <w:p w:rsidR="003B7359" w:rsidRDefault="00B77CDB">
      <w:pPr>
        <w:pStyle w:val="Leipteksti"/>
        <w:spacing w:after="6" w:line="230" w:lineRule="exact"/>
        <w:ind w:left="5526"/>
      </w:pPr>
      <w:r>
        <w:t>Personuppgiftslagen (523/1999) 10 § och 24 §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2095"/>
      </w:tblGrid>
      <w:tr w:rsidR="003B7359">
        <w:trPr>
          <w:trHeight w:val="138"/>
        </w:trPr>
        <w:tc>
          <w:tcPr>
            <w:tcW w:w="5459" w:type="dxa"/>
            <w:vMerge w:val="restart"/>
            <w:tcBorders>
              <w:right w:val="single" w:sz="4" w:space="0" w:color="000000"/>
            </w:tcBorders>
          </w:tcPr>
          <w:p w:rsidR="003B7359" w:rsidRDefault="00B77CDB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Läs anvisningarna för ifyllande innan du fyller i</w:t>
            </w:r>
          </w:p>
          <w:p w:rsidR="003B7359" w:rsidRDefault="00B77CDB">
            <w:pPr>
              <w:pStyle w:val="TableParagraph"/>
              <w:spacing w:before="1" w:line="168" w:lineRule="exact"/>
              <w:ind w:left="200"/>
              <w:rPr>
                <w:sz w:val="16"/>
              </w:rPr>
            </w:pPr>
            <w:r>
              <w:rPr>
                <w:sz w:val="16"/>
              </w:rPr>
              <w:t>registerbeskrivningen. Använd bilaga vid behov.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359" w:rsidRDefault="00B77CDB">
            <w:pPr>
              <w:pStyle w:val="TableParagraph"/>
              <w:spacing w:line="118" w:lineRule="exact"/>
              <w:ind w:left="53"/>
              <w:rPr>
                <w:sz w:val="12"/>
              </w:rPr>
            </w:pPr>
            <w:r>
              <w:rPr>
                <w:sz w:val="12"/>
              </w:rPr>
              <w:t>Datum för uppgörande</w:t>
            </w:r>
          </w:p>
        </w:tc>
      </w:tr>
      <w:tr w:rsidR="003B7359">
        <w:trPr>
          <w:trHeight w:val="230"/>
        </w:trPr>
        <w:tc>
          <w:tcPr>
            <w:tcW w:w="5459" w:type="dxa"/>
            <w:vMerge/>
            <w:tcBorders>
              <w:top w:val="nil"/>
              <w:right w:val="single" w:sz="4" w:space="0" w:color="000000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59" w:rsidRDefault="00B77CDB">
            <w:pPr>
              <w:pStyle w:val="TableParagraph"/>
              <w:spacing w:line="211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15.3.2017</w:t>
            </w:r>
          </w:p>
        </w:tc>
      </w:tr>
    </w:tbl>
    <w:p w:rsidR="003B7359" w:rsidRDefault="003B7359">
      <w:pPr>
        <w:rPr>
          <w:b/>
          <w:sz w:val="20"/>
        </w:rPr>
      </w:pPr>
    </w:p>
    <w:p w:rsidR="003B7359" w:rsidRDefault="003B7359">
      <w:pPr>
        <w:spacing w:before="10"/>
        <w:rPr>
          <w:b/>
          <w:sz w:val="19"/>
        </w:rPr>
      </w:pPr>
    </w:p>
    <w:tbl>
      <w:tblPr>
        <w:tblW w:w="10581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9014"/>
      </w:tblGrid>
      <w:tr w:rsidR="003B7359" w:rsidTr="009D0A79">
        <w:trPr>
          <w:trHeight w:val="138"/>
        </w:trPr>
        <w:tc>
          <w:tcPr>
            <w:tcW w:w="1567" w:type="dxa"/>
            <w:vMerge w:val="restart"/>
          </w:tcPr>
          <w:p w:rsidR="003B7359" w:rsidRDefault="00B77CDB"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1a Registeransvarig</w:t>
            </w:r>
          </w:p>
        </w:tc>
        <w:tc>
          <w:tcPr>
            <w:tcW w:w="9014" w:type="dxa"/>
            <w:tcBorders>
              <w:bottom w:val="nil"/>
            </w:tcBorders>
          </w:tcPr>
          <w:p w:rsidR="003B7359" w:rsidRDefault="00B77CDB">
            <w:pPr>
              <w:pStyle w:val="TableParagraph"/>
              <w:spacing w:line="118" w:lineRule="exact"/>
              <w:ind w:left="24"/>
              <w:rPr>
                <w:sz w:val="12"/>
              </w:rPr>
            </w:pPr>
            <w:r>
              <w:rPr>
                <w:sz w:val="12"/>
              </w:rPr>
              <w:t>Namn</w:t>
            </w:r>
          </w:p>
        </w:tc>
      </w:tr>
      <w:tr w:rsidR="003B7359" w:rsidTr="009D0A79">
        <w:trPr>
          <w:trHeight w:val="465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top w:val="nil"/>
            </w:tcBorders>
          </w:tcPr>
          <w:p w:rsidR="003B7359" w:rsidRDefault="00B77CDB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Sydvästra Finlands rättshjälps- och intressebevakningsdistrikt</w:t>
            </w:r>
          </w:p>
        </w:tc>
      </w:tr>
      <w:tr w:rsidR="003B7359" w:rsidTr="009D0A79">
        <w:trPr>
          <w:trHeight w:val="135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bottom w:val="nil"/>
            </w:tcBorders>
          </w:tcPr>
          <w:p w:rsidR="003B7359" w:rsidRDefault="00B77CDB">
            <w:pPr>
              <w:pStyle w:val="TableParagraph"/>
              <w:spacing w:line="116" w:lineRule="exact"/>
              <w:ind w:left="24"/>
              <w:rPr>
                <w:sz w:val="12"/>
              </w:rPr>
            </w:pPr>
            <w:r>
              <w:rPr>
                <w:sz w:val="12"/>
              </w:rPr>
              <w:t>Adress</w:t>
            </w:r>
          </w:p>
        </w:tc>
      </w:tr>
      <w:tr w:rsidR="003B7359" w:rsidTr="009D0A79">
        <w:trPr>
          <w:trHeight w:val="465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top w:val="nil"/>
            </w:tcBorders>
          </w:tcPr>
          <w:p w:rsidR="003B7359" w:rsidRDefault="00C13F73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Universitetsgatan 34</w:t>
            </w:r>
            <w:r w:rsidR="00B77CDB">
              <w:rPr>
                <w:sz w:val="20"/>
              </w:rPr>
              <w:t>, 20100 Åbo</w:t>
            </w:r>
          </w:p>
        </w:tc>
      </w:tr>
      <w:tr w:rsidR="003B7359" w:rsidTr="009D0A79">
        <w:trPr>
          <w:trHeight w:val="135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bottom w:val="nil"/>
            </w:tcBorders>
          </w:tcPr>
          <w:p w:rsidR="003B7359" w:rsidRDefault="00B77CDB">
            <w:pPr>
              <w:pStyle w:val="TableParagraph"/>
              <w:spacing w:line="116" w:lineRule="exact"/>
              <w:ind w:left="24"/>
              <w:rPr>
                <w:sz w:val="12"/>
              </w:rPr>
            </w:pPr>
            <w:r>
              <w:rPr>
                <w:sz w:val="12"/>
              </w:rPr>
              <w:t>Övriga kontaktuppgifter (t.ex. telefon under tjänstetid, e-postadress)</w:t>
            </w:r>
          </w:p>
        </w:tc>
      </w:tr>
      <w:tr w:rsidR="003B7359" w:rsidTr="009D0A79">
        <w:trPr>
          <w:trHeight w:val="485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top w:val="nil"/>
            </w:tcBorders>
          </w:tcPr>
          <w:p w:rsidR="003B7359" w:rsidRDefault="009D0A79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hyperlink r:id="rId6">
              <w:r w:rsidR="00B77CDB">
                <w:rPr>
                  <w:sz w:val="20"/>
                </w:rPr>
                <w:t>lounais-suomi.oaevpiiri@oikeus.fi</w:t>
              </w:r>
            </w:hyperlink>
          </w:p>
        </w:tc>
      </w:tr>
      <w:tr w:rsidR="003B7359" w:rsidTr="009D0A79">
        <w:trPr>
          <w:trHeight w:val="130"/>
        </w:trPr>
        <w:tc>
          <w:tcPr>
            <w:tcW w:w="1567" w:type="dxa"/>
            <w:vMerge w:val="restart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B7359" w:rsidRDefault="00B77CDB" w:rsidP="009D0A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  <w:bookmarkStart w:id="0" w:name="_GoBack"/>
            <w:bookmarkEnd w:id="0"/>
            <w:r>
              <w:rPr>
                <w:b/>
                <w:sz w:val="20"/>
              </w:rPr>
              <w:t>person i ärenden som gäller registret</w:t>
            </w:r>
          </w:p>
        </w:tc>
        <w:tc>
          <w:tcPr>
            <w:tcW w:w="9014" w:type="dxa"/>
            <w:tcBorders>
              <w:bottom w:val="nil"/>
            </w:tcBorders>
          </w:tcPr>
          <w:p w:rsidR="003B7359" w:rsidRDefault="00B77CDB">
            <w:pPr>
              <w:pStyle w:val="TableParagraph"/>
              <w:spacing w:line="111" w:lineRule="exact"/>
              <w:ind w:left="24"/>
              <w:rPr>
                <w:sz w:val="12"/>
              </w:rPr>
            </w:pPr>
            <w:r>
              <w:rPr>
                <w:sz w:val="12"/>
              </w:rPr>
              <w:t>Namn</w:t>
            </w:r>
          </w:p>
        </w:tc>
      </w:tr>
      <w:tr w:rsidR="003B7359" w:rsidTr="009D0A79">
        <w:trPr>
          <w:trHeight w:val="218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top w:val="nil"/>
            </w:tcBorders>
          </w:tcPr>
          <w:p w:rsidR="003B7359" w:rsidRDefault="00B77CDB">
            <w:pPr>
              <w:pStyle w:val="TableParagraph"/>
              <w:spacing w:line="199" w:lineRule="exact"/>
              <w:ind w:left="24"/>
              <w:rPr>
                <w:sz w:val="20"/>
              </w:rPr>
            </w:pPr>
            <w:r>
              <w:rPr>
                <w:sz w:val="20"/>
              </w:rPr>
              <w:t>Catharina Asplund, Mirja Alho</w:t>
            </w:r>
          </w:p>
        </w:tc>
      </w:tr>
      <w:tr w:rsidR="003B7359" w:rsidTr="009D0A79">
        <w:trPr>
          <w:trHeight w:val="148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bottom w:val="nil"/>
            </w:tcBorders>
          </w:tcPr>
          <w:p w:rsidR="003B7359" w:rsidRDefault="00B77CDB">
            <w:pPr>
              <w:pStyle w:val="TableParagraph"/>
              <w:spacing w:line="129" w:lineRule="exact"/>
              <w:ind w:left="24"/>
              <w:rPr>
                <w:sz w:val="12"/>
              </w:rPr>
            </w:pPr>
            <w:r>
              <w:rPr>
                <w:sz w:val="12"/>
              </w:rPr>
              <w:t>Adress</w:t>
            </w:r>
          </w:p>
        </w:tc>
      </w:tr>
      <w:tr w:rsidR="003B7359" w:rsidTr="009D0A79">
        <w:trPr>
          <w:trHeight w:val="493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top w:val="nil"/>
            </w:tcBorders>
          </w:tcPr>
          <w:p w:rsidR="003B7359" w:rsidRDefault="00C13F73"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z w:val="20"/>
              </w:rPr>
              <w:t>Universitetsgatan 34</w:t>
            </w:r>
            <w:r w:rsidR="00B77CDB">
              <w:rPr>
                <w:sz w:val="20"/>
              </w:rPr>
              <w:t>, 20100 Åbo</w:t>
            </w:r>
          </w:p>
        </w:tc>
      </w:tr>
      <w:tr w:rsidR="003B7359" w:rsidTr="009D0A79">
        <w:trPr>
          <w:trHeight w:val="147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bottom w:val="nil"/>
            </w:tcBorders>
          </w:tcPr>
          <w:p w:rsidR="003B7359" w:rsidRDefault="00B77CDB">
            <w:pPr>
              <w:pStyle w:val="TableParagraph"/>
              <w:spacing w:line="128" w:lineRule="exact"/>
              <w:ind w:left="24"/>
              <w:rPr>
                <w:sz w:val="12"/>
              </w:rPr>
            </w:pPr>
            <w:r>
              <w:rPr>
                <w:sz w:val="12"/>
              </w:rPr>
              <w:t>Övriga kontaktuppgifter (t.ex. telefon under tjänstetid, e-postadress)</w:t>
            </w:r>
          </w:p>
        </w:tc>
      </w:tr>
      <w:tr w:rsidR="003B7359" w:rsidTr="009D0A79">
        <w:trPr>
          <w:trHeight w:val="494"/>
        </w:trPr>
        <w:tc>
          <w:tcPr>
            <w:tcW w:w="1567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9014" w:type="dxa"/>
            <w:tcBorders>
              <w:top w:val="nil"/>
            </w:tcBorders>
          </w:tcPr>
          <w:p w:rsidR="003B7359" w:rsidRDefault="009D0A79">
            <w:pPr>
              <w:pStyle w:val="TableParagraph"/>
              <w:spacing w:before="5"/>
              <w:ind w:left="24"/>
              <w:rPr>
                <w:sz w:val="20"/>
              </w:rPr>
            </w:pPr>
            <w:hyperlink r:id="rId7">
              <w:r w:rsidR="00B77CDB">
                <w:rPr>
                  <w:sz w:val="20"/>
                </w:rPr>
                <w:t>lounais-suomi.oaevpiiri@oikeus.fi</w:t>
              </w:r>
            </w:hyperlink>
          </w:p>
        </w:tc>
      </w:tr>
      <w:tr w:rsidR="003B7359" w:rsidTr="009D0A79">
        <w:trPr>
          <w:trHeight w:val="691"/>
        </w:trPr>
        <w:tc>
          <w:tcPr>
            <w:tcW w:w="1567" w:type="dxa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3B7359" w:rsidRDefault="00B77CDB">
            <w:pPr>
              <w:pStyle w:val="TableParagraph"/>
              <w:spacing w:line="230" w:lineRule="atLeast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Registrets namn</w:t>
            </w:r>
          </w:p>
        </w:tc>
        <w:tc>
          <w:tcPr>
            <w:tcW w:w="9014" w:type="dxa"/>
          </w:tcPr>
          <w:p w:rsidR="003B7359" w:rsidRDefault="00B77CDB">
            <w:pPr>
              <w:pStyle w:val="TableParagraph"/>
              <w:spacing w:before="19"/>
              <w:ind w:left="24"/>
              <w:rPr>
                <w:sz w:val="20"/>
              </w:rPr>
            </w:pPr>
            <w:r>
              <w:rPr>
                <w:sz w:val="20"/>
              </w:rPr>
              <w:t>Statens ärendehanteringsprogram Edvard för intressebevakningsbyråerna</w:t>
            </w:r>
          </w:p>
        </w:tc>
      </w:tr>
      <w:tr w:rsidR="003B7359" w:rsidTr="009D0A79">
        <w:trPr>
          <w:trHeight w:val="2833"/>
        </w:trPr>
        <w:tc>
          <w:tcPr>
            <w:tcW w:w="1567" w:type="dxa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3B7359" w:rsidRDefault="00B77CDB" w:rsidP="009D0A79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Syftet med hanteringen av personupp</w:t>
            </w:r>
            <w:r w:rsidR="009D0A7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gifter</w:t>
            </w:r>
          </w:p>
        </w:tc>
        <w:tc>
          <w:tcPr>
            <w:tcW w:w="9014" w:type="dxa"/>
          </w:tcPr>
          <w:p w:rsidR="003B7359" w:rsidRDefault="00B77CDB">
            <w:pPr>
              <w:pStyle w:val="TableParagraph"/>
              <w:spacing w:before="18"/>
              <w:ind w:left="24" w:right="355"/>
              <w:rPr>
                <w:sz w:val="20"/>
              </w:rPr>
            </w:pPr>
            <w:r>
              <w:rPr>
                <w:sz w:val="20"/>
              </w:rPr>
              <w:t>Statens rätthjälps- och intressebevakningsdistrikt ordnar lagstadgade intressebevakningstjänster, som produceras av distriktens intressebevakningsbyråer (Lag om rättshjälps- och intressebevakningsdistrikt 1 § 1 mom.). Intressebevakarna sköter ekonomiska ärenden och ärenden som gäller personen för huvudmän som de har tillförordnats. Personuppgifter hanteras när dess</w:t>
            </w:r>
            <w:r w:rsidR="003A3064">
              <w:rPr>
                <w:sz w:val="20"/>
              </w:rPr>
              <w:t>a</w:t>
            </w:r>
            <w:r>
              <w:rPr>
                <w:sz w:val="20"/>
              </w:rPr>
              <w:t xml:space="preserve"> uppdrag sköts. Uppdragen bestäms med stöd av lagen om förmyndarverksamhet enligt beslut av förmyndarmyndigheten (magistrat) eller domstol. Uppgifterna används även för övervakning av skötseln och utveckling av uppdragen.</w:t>
            </w:r>
          </w:p>
        </w:tc>
      </w:tr>
      <w:tr w:rsidR="003B7359" w:rsidTr="009D0A79">
        <w:trPr>
          <w:trHeight w:val="3439"/>
        </w:trPr>
        <w:tc>
          <w:tcPr>
            <w:tcW w:w="1567" w:type="dxa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3B7359" w:rsidRDefault="00B77CD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Datainnehållet i registret</w:t>
            </w:r>
          </w:p>
        </w:tc>
        <w:tc>
          <w:tcPr>
            <w:tcW w:w="9014" w:type="dxa"/>
          </w:tcPr>
          <w:p w:rsidR="003B7359" w:rsidRDefault="00B77CDB">
            <w:pPr>
              <w:pStyle w:val="TableParagraph"/>
              <w:spacing w:before="18"/>
              <w:ind w:left="24" w:right="355"/>
              <w:rPr>
                <w:sz w:val="20"/>
              </w:rPr>
            </w:pPr>
            <w:r>
              <w:rPr>
                <w:sz w:val="20"/>
              </w:rPr>
              <w:t>Registret utgörs av ärendehanteringsprogram som står till intressebevakningsbyråernas förfogande och som omfattar kundregister, transaktionsprogram och dokumenthanteringsprogram</w:t>
            </w:r>
          </w:p>
          <w:p w:rsidR="003B7359" w:rsidRDefault="00B77CDB">
            <w:pPr>
              <w:pStyle w:val="TableParagraph"/>
              <w:spacing w:before="21"/>
              <w:ind w:left="24"/>
              <w:rPr>
                <w:sz w:val="20"/>
              </w:rPr>
            </w:pPr>
            <w:r>
              <w:rPr>
                <w:sz w:val="20"/>
              </w:rPr>
              <w:t>Om en person kan följande uppgifter sparas:</w:t>
            </w:r>
          </w:p>
          <w:p w:rsidR="003B7359" w:rsidRDefault="00B77CDB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19"/>
              <w:ind w:hanging="122"/>
              <w:rPr>
                <w:sz w:val="20"/>
              </w:rPr>
            </w:pPr>
            <w:r>
              <w:rPr>
                <w:sz w:val="20"/>
              </w:rPr>
              <w:t>namn, personbeteckning, eller om det inte finns tillgängligt uppgifter om födelsetid och -ort</w:t>
            </w:r>
          </w:p>
          <w:p w:rsidR="003B7359" w:rsidRDefault="00B77CDB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22"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adress och telefonnummer eller andra kontaktuppgifter</w:t>
            </w:r>
          </w:p>
          <w:p w:rsidR="003B7359" w:rsidRDefault="00B77CDB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språk, medborgarskap och civilstånd</w:t>
            </w:r>
          </w:p>
          <w:p w:rsidR="003B7359" w:rsidRDefault="003B735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B7359" w:rsidRDefault="00B77CDB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Om ärendet och hanteringen av ärendet kan följande sparas</w:t>
            </w:r>
          </w:p>
          <w:p w:rsidR="003B7359" w:rsidRDefault="00B77CDB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21"/>
              <w:ind w:hanging="122"/>
              <w:rPr>
                <w:sz w:val="20"/>
              </w:rPr>
            </w:pPr>
            <w:r>
              <w:rPr>
                <w:sz w:val="20"/>
              </w:rPr>
              <w:t>Huvudmannens åtgärder förknippade med intressebevakningen</w:t>
            </w:r>
          </w:p>
          <w:p w:rsidR="003B7359" w:rsidRDefault="00B77CDB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19"/>
              <w:ind w:hanging="122"/>
              <w:rPr>
                <w:sz w:val="20"/>
              </w:rPr>
            </w:pPr>
            <w:r>
              <w:rPr>
                <w:sz w:val="20"/>
              </w:rPr>
              <w:t>ansökningar, beslut och avtal</w:t>
            </w:r>
          </w:p>
          <w:p w:rsidR="003B7359" w:rsidRDefault="00B77CDB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19"/>
              <w:ind w:hanging="122"/>
              <w:rPr>
                <w:sz w:val="20"/>
              </w:rPr>
            </w:pPr>
            <w:r>
              <w:rPr>
                <w:sz w:val="20"/>
              </w:rPr>
              <w:t>huvudmannens förmögenhets- och inkomstuppgifter och skulder</w:t>
            </w:r>
          </w:p>
          <w:p w:rsidR="003B7359" w:rsidRDefault="00B77CDB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19"/>
              <w:ind w:hanging="122"/>
              <w:rPr>
                <w:sz w:val="20"/>
              </w:rPr>
            </w:pPr>
            <w:r>
              <w:rPr>
                <w:sz w:val="20"/>
              </w:rPr>
              <w:t>bokföring över skötseln av ärendet och redovisningsperiodens händelser och tillhörande nödvändiga verifikationer</w:t>
            </w:r>
          </w:p>
          <w:p w:rsidR="003B7359" w:rsidRDefault="00B77CDB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9"/>
              <w:ind w:left="144" w:hanging="120"/>
              <w:rPr>
                <w:sz w:val="20"/>
              </w:rPr>
            </w:pPr>
            <w:r>
              <w:rPr>
                <w:sz w:val="20"/>
              </w:rPr>
              <w:t>uppgifter om transaktioner</w:t>
            </w:r>
          </w:p>
        </w:tc>
      </w:tr>
      <w:tr w:rsidR="003B7359" w:rsidTr="009D0A79">
        <w:trPr>
          <w:trHeight w:val="3403"/>
        </w:trPr>
        <w:tc>
          <w:tcPr>
            <w:tcW w:w="1567" w:type="dxa"/>
          </w:tcPr>
          <w:p w:rsidR="003B7359" w:rsidRDefault="00B77CD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3B7359" w:rsidRDefault="00B77C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Regelmässiga uppgiftskällor</w:t>
            </w:r>
          </w:p>
        </w:tc>
        <w:tc>
          <w:tcPr>
            <w:tcW w:w="9014" w:type="dxa"/>
          </w:tcPr>
          <w:p w:rsidR="003B7359" w:rsidRDefault="00B77CDB">
            <w:pPr>
              <w:pStyle w:val="TableParagraph"/>
              <w:spacing w:before="21" w:line="261" w:lineRule="auto"/>
              <w:ind w:left="24" w:right="6440"/>
              <w:rPr>
                <w:sz w:val="20"/>
              </w:rPr>
            </w:pPr>
            <w:r>
              <w:rPr>
                <w:sz w:val="20"/>
              </w:rPr>
              <w:t>Huvudmannen själv Anhöriga/närstående</w:t>
            </w:r>
          </w:p>
          <w:p w:rsidR="003B7359" w:rsidRDefault="00B77CDB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Myndigheter och organisationer (magistraten, banker, FPA m.fl.)</w:t>
            </w:r>
          </w:p>
          <w:p w:rsidR="003B7359" w:rsidRDefault="00B77CDB" w:rsidP="003A3064">
            <w:pPr>
              <w:pStyle w:val="TableParagraph"/>
              <w:spacing w:before="19"/>
              <w:ind w:left="24"/>
              <w:rPr>
                <w:sz w:val="20"/>
              </w:rPr>
            </w:pPr>
            <w:r>
              <w:rPr>
                <w:sz w:val="20"/>
              </w:rPr>
              <w:t>Intressebevakaren har enligt 89 § i lagen om förmyndarverksamhet rätt att få de uppgifter som är nödvändiga för att sköta uppdraget.</w:t>
            </w:r>
          </w:p>
        </w:tc>
      </w:tr>
    </w:tbl>
    <w:p w:rsidR="003B7359" w:rsidRDefault="003B7359">
      <w:pPr>
        <w:rPr>
          <w:sz w:val="20"/>
        </w:rPr>
        <w:sectPr w:rsidR="003B7359">
          <w:type w:val="continuous"/>
          <w:pgSz w:w="11910" w:h="16840"/>
          <w:pgMar w:top="480" w:right="240" w:bottom="280" w:left="880" w:header="708" w:footer="708" w:gutter="0"/>
          <w:cols w:space="708"/>
        </w:sectPr>
      </w:pPr>
    </w:p>
    <w:p w:rsidR="003B7359" w:rsidRDefault="00B77CDB">
      <w:pPr>
        <w:tabs>
          <w:tab w:val="right" w:pos="9528"/>
        </w:tabs>
        <w:spacing w:before="82"/>
        <w:ind w:left="5526"/>
        <w:rPr>
          <w:sz w:val="16"/>
        </w:rPr>
      </w:pPr>
      <w:r>
        <w:rPr>
          <w:b/>
          <w:sz w:val="18"/>
        </w:rPr>
        <w:lastRenderedPageBreak/>
        <w:t>REGISTERBESKRIVNING</w:t>
      </w:r>
      <w:r>
        <w:rPr>
          <w:b/>
          <w:sz w:val="18"/>
        </w:rPr>
        <w:tab/>
      </w:r>
      <w:r>
        <w:rPr>
          <w:sz w:val="16"/>
        </w:rPr>
        <w:t>2</w:t>
      </w:r>
    </w:p>
    <w:p w:rsidR="003B7359" w:rsidRDefault="003B7359">
      <w:pPr>
        <w:spacing w:before="6" w:after="1"/>
        <w:rPr>
          <w:sz w:val="18"/>
        </w:rPr>
      </w:pP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8242"/>
      </w:tblGrid>
      <w:tr w:rsidR="003B7359" w:rsidTr="00B77CDB">
        <w:trPr>
          <w:trHeight w:val="2834"/>
        </w:trPr>
        <w:tc>
          <w:tcPr>
            <w:tcW w:w="2134" w:type="dxa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3B7359" w:rsidRDefault="00B77CDB"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Regelmässigt utlämnande av uppgifter</w:t>
            </w:r>
          </w:p>
        </w:tc>
        <w:tc>
          <w:tcPr>
            <w:tcW w:w="8242" w:type="dxa"/>
          </w:tcPr>
          <w:p w:rsidR="003B7359" w:rsidRDefault="00B77CDB">
            <w:pPr>
              <w:pStyle w:val="TableParagraph"/>
              <w:spacing w:before="18"/>
              <w:ind w:left="26" w:right="75"/>
              <w:rPr>
                <w:sz w:val="20"/>
              </w:rPr>
            </w:pPr>
            <w:r>
              <w:rPr>
                <w:sz w:val="20"/>
              </w:rPr>
              <w:t>Uppgift om huvudmannens kundförhållande till intressebevakningsbyrån lämnas regelmässigt för utredning av jävssituationer till statens rätthjälpsbyrå som verkar i samma lokaler.</w:t>
            </w:r>
          </w:p>
        </w:tc>
      </w:tr>
      <w:tr w:rsidR="003B7359" w:rsidTr="00B77CDB">
        <w:trPr>
          <w:trHeight w:val="1610"/>
        </w:trPr>
        <w:tc>
          <w:tcPr>
            <w:tcW w:w="2134" w:type="dxa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3B7359" w:rsidRDefault="00B77CDB">
            <w:pPr>
              <w:pStyle w:val="TableParagraph"/>
              <w:ind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Överföring av uppgifterna till stater utanför</w:t>
            </w:r>
          </w:p>
          <w:p w:rsidR="003B7359" w:rsidRDefault="00B77CD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 eller ETA</w:t>
            </w:r>
          </w:p>
        </w:tc>
        <w:tc>
          <w:tcPr>
            <w:tcW w:w="8242" w:type="dxa"/>
          </w:tcPr>
          <w:p w:rsidR="003B7359" w:rsidRDefault="00B77CDB">
            <w:pPr>
              <w:pStyle w:val="TableParagraph"/>
              <w:spacing w:before="18"/>
              <w:ind w:left="26"/>
              <w:rPr>
                <w:sz w:val="20"/>
              </w:rPr>
            </w:pPr>
            <w:r>
              <w:rPr>
                <w:sz w:val="20"/>
              </w:rPr>
              <w:t>Ingen överföring av uppgifter</w:t>
            </w:r>
          </w:p>
        </w:tc>
      </w:tr>
      <w:tr w:rsidR="003B7359" w:rsidTr="00B77CDB">
        <w:trPr>
          <w:trHeight w:val="161"/>
        </w:trPr>
        <w:tc>
          <w:tcPr>
            <w:tcW w:w="2134" w:type="dxa"/>
            <w:vMerge w:val="restart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3B7359" w:rsidRDefault="00B77CDB">
            <w:pPr>
              <w:pStyle w:val="TableParagraph"/>
              <w:spacing w:before="1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Principerna för skydd av registret</w:t>
            </w:r>
          </w:p>
        </w:tc>
        <w:tc>
          <w:tcPr>
            <w:tcW w:w="8242" w:type="dxa"/>
            <w:tcBorders>
              <w:bottom w:val="nil"/>
            </w:tcBorders>
          </w:tcPr>
          <w:p w:rsidR="003B7359" w:rsidRDefault="00B77CDB">
            <w:pPr>
              <w:pStyle w:val="TableParagraph"/>
              <w:spacing w:before="19" w:line="122" w:lineRule="exact"/>
              <w:ind w:left="26"/>
              <w:rPr>
                <w:sz w:val="12"/>
              </w:rPr>
            </w:pPr>
            <w:r>
              <w:rPr>
                <w:sz w:val="12"/>
              </w:rPr>
              <w:t>A Manuellt material</w:t>
            </w:r>
          </w:p>
        </w:tc>
      </w:tr>
      <w:tr w:rsidR="003B7359" w:rsidTr="00B77CDB">
        <w:trPr>
          <w:trHeight w:val="1175"/>
        </w:trPr>
        <w:tc>
          <w:tcPr>
            <w:tcW w:w="2134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8242" w:type="dxa"/>
            <w:tcBorders>
              <w:top w:val="nil"/>
              <w:bottom w:val="nil"/>
            </w:tcBorders>
          </w:tcPr>
          <w:p w:rsidR="003B7359" w:rsidRDefault="00B77CDB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Förvaras i låsta utrymmen enligt arkiveringsanvisningarna</w:t>
            </w:r>
          </w:p>
        </w:tc>
      </w:tr>
      <w:tr w:rsidR="003B7359" w:rsidTr="00B77CDB">
        <w:trPr>
          <w:trHeight w:val="1083"/>
        </w:trPr>
        <w:tc>
          <w:tcPr>
            <w:tcW w:w="2134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8242" w:type="dxa"/>
            <w:tcBorders>
              <w:top w:val="nil"/>
              <w:bottom w:val="nil"/>
            </w:tcBorders>
          </w:tcPr>
          <w:p w:rsidR="003B7359" w:rsidRDefault="003B7359">
            <w:pPr>
              <w:pStyle w:val="TableParagraph"/>
              <w:ind w:left="0"/>
              <w:rPr>
                <w:sz w:val="12"/>
              </w:rPr>
            </w:pPr>
          </w:p>
          <w:p w:rsidR="003B7359" w:rsidRDefault="003B7359">
            <w:pPr>
              <w:pStyle w:val="TableParagraph"/>
              <w:ind w:left="0"/>
              <w:rPr>
                <w:sz w:val="12"/>
              </w:rPr>
            </w:pPr>
          </w:p>
          <w:p w:rsidR="003B7359" w:rsidRDefault="003B7359">
            <w:pPr>
              <w:pStyle w:val="TableParagraph"/>
              <w:ind w:left="0"/>
              <w:rPr>
                <w:sz w:val="12"/>
              </w:rPr>
            </w:pPr>
          </w:p>
          <w:p w:rsidR="003B7359" w:rsidRDefault="003B7359">
            <w:pPr>
              <w:pStyle w:val="TableParagraph"/>
              <w:ind w:left="0"/>
              <w:rPr>
                <w:sz w:val="12"/>
              </w:rPr>
            </w:pPr>
          </w:p>
          <w:p w:rsidR="003B7359" w:rsidRDefault="003B7359">
            <w:pPr>
              <w:pStyle w:val="TableParagraph"/>
              <w:ind w:left="0"/>
              <w:rPr>
                <w:sz w:val="12"/>
              </w:rPr>
            </w:pPr>
          </w:p>
          <w:p w:rsidR="003B7359" w:rsidRDefault="003B7359">
            <w:pPr>
              <w:pStyle w:val="TableParagraph"/>
              <w:ind w:left="0"/>
              <w:rPr>
                <w:sz w:val="12"/>
              </w:rPr>
            </w:pPr>
          </w:p>
          <w:p w:rsidR="003B7359" w:rsidRDefault="003B7359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:rsidR="003B7359" w:rsidRDefault="00B77CDB">
            <w:pPr>
              <w:pStyle w:val="TableParagraph"/>
              <w:spacing w:line="118" w:lineRule="exact"/>
              <w:ind w:left="26"/>
              <w:rPr>
                <w:sz w:val="12"/>
              </w:rPr>
            </w:pPr>
            <w:r>
              <w:rPr>
                <w:sz w:val="12"/>
              </w:rPr>
              <w:t>B Uppgifter som behandlas med ADB</w:t>
            </w:r>
          </w:p>
        </w:tc>
      </w:tr>
      <w:tr w:rsidR="003B7359" w:rsidTr="00B77CDB">
        <w:trPr>
          <w:trHeight w:val="2129"/>
        </w:trPr>
        <w:tc>
          <w:tcPr>
            <w:tcW w:w="2134" w:type="dxa"/>
            <w:vMerge/>
            <w:tcBorders>
              <w:top w:val="nil"/>
            </w:tcBorders>
          </w:tcPr>
          <w:p w:rsidR="003B7359" w:rsidRDefault="003B7359">
            <w:pPr>
              <w:rPr>
                <w:sz w:val="2"/>
                <w:szCs w:val="2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3B7359" w:rsidRDefault="00B77CDB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Systemet skyddas med användarnamn och lösenord.</w:t>
            </w:r>
          </w:p>
          <w:p w:rsidR="003B7359" w:rsidRDefault="00B77CDB">
            <w:pPr>
              <w:pStyle w:val="TableParagraph"/>
              <w:ind w:left="26" w:right="802"/>
              <w:rPr>
                <w:sz w:val="20"/>
              </w:rPr>
            </w:pPr>
            <w:r>
              <w:rPr>
                <w:sz w:val="20"/>
              </w:rPr>
              <w:t>Antalet användarrättigheter är begränsat. Användarrättigheterna bestäms utgående från uppdragsbeskrivningen. Systemet innehåller konfidentiella personuppgifter.</w:t>
            </w:r>
          </w:p>
        </w:tc>
      </w:tr>
      <w:tr w:rsidR="003B7359" w:rsidTr="00B77CDB">
        <w:trPr>
          <w:trHeight w:val="2130"/>
        </w:trPr>
        <w:tc>
          <w:tcPr>
            <w:tcW w:w="2134" w:type="dxa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3B7359" w:rsidRDefault="00B77CDB"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Rätt till insyn</w:t>
            </w:r>
          </w:p>
        </w:tc>
        <w:tc>
          <w:tcPr>
            <w:tcW w:w="8242" w:type="dxa"/>
          </w:tcPr>
          <w:p w:rsidR="003B7359" w:rsidRDefault="00B77CDB">
            <w:pPr>
              <w:pStyle w:val="TableParagraph"/>
              <w:spacing w:before="18" w:line="261" w:lineRule="auto"/>
              <w:ind w:left="26" w:right="1737"/>
              <w:rPr>
                <w:sz w:val="20"/>
              </w:rPr>
            </w:pPr>
            <w:r>
              <w:rPr>
                <w:sz w:val="20"/>
              </w:rPr>
              <w:t>Person vars uppgifter antecknats i registret har rätt att granska sina egna uppgifter i registret. Begäran om uppgifterna adresseras till:</w:t>
            </w:r>
          </w:p>
          <w:p w:rsidR="003B7359" w:rsidRDefault="003B735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B7359" w:rsidRDefault="009D0A79">
            <w:pPr>
              <w:pStyle w:val="TableParagraph"/>
              <w:spacing w:before="1"/>
              <w:ind w:left="26"/>
              <w:rPr>
                <w:sz w:val="20"/>
              </w:rPr>
            </w:pPr>
            <w:hyperlink r:id="rId8">
              <w:r w:rsidR="00B77CDB">
                <w:rPr>
                  <w:sz w:val="20"/>
                </w:rPr>
                <w:t>lounais-suomi.oaevpiiri@oikeus.fi</w:t>
              </w:r>
            </w:hyperlink>
          </w:p>
        </w:tc>
      </w:tr>
      <w:tr w:rsidR="003B7359" w:rsidTr="00B77CDB">
        <w:trPr>
          <w:trHeight w:val="2133"/>
        </w:trPr>
        <w:tc>
          <w:tcPr>
            <w:tcW w:w="2134" w:type="dxa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3B7359" w:rsidRDefault="00B77C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Rätt att kräva rättelse av uppgift</w:t>
            </w:r>
          </w:p>
        </w:tc>
        <w:tc>
          <w:tcPr>
            <w:tcW w:w="8242" w:type="dxa"/>
          </w:tcPr>
          <w:p w:rsidR="003B7359" w:rsidRDefault="00B77CDB">
            <w:pPr>
              <w:pStyle w:val="TableParagraph"/>
              <w:spacing w:before="18" w:line="264" w:lineRule="auto"/>
              <w:ind w:left="26" w:right="3360"/>
              <w:rPr>
                <w:sz w:val="20"/>
              </w:rPr>
            </w:pPr>
            <w:r>
              <w:rPr>
                <w:sz w:val="20"/>
              </w:rPr>
              <w:t>Den registrerade har rätt att kräva rättelse av felaktiga uppgifter. Begäran görs till:</w:t>
            </w:r>
          </w:p>
          <w:p w:rsidR="003B7359" w:rsidRDefault="003B7359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3B7359" w:rsidRDefault="009D0A79">
            <w:pPr>
              <w:pStyle w:val="TableParagraph"/>
              <w:ind w:left="26"/>
              <w:rPr>
                <w:sz w:val="20"/>
              </w:rPr>
            </w:pPr>
            <w:hyperlink r:id="rId9">
              <w:r w:rsidR="00B77CDB">
                <w:rPr>
                  <w:sz w:val="20"/>
                </w:rPr>
                <w:t>lounais-suomi.oaevpiiri@oikeus.fi</w:t>
              </w:r>
            </w:hyperlink>
          </w:p>
        </w:tc>
      </w:tr>
      <w:tr w:rsidR="003B7359" w:rsidTr="00B77CDB">
        <w:trPr>
          <w:trHeight w:val="1681"/>
        </w:trPr>
        <w:tc>
          <w:tcPr>
            <w:tcW w:w="2134" w:type="dxa"/>
          </w:tcPr>
          <w:p w:rsidR="003B7359" w:rsidRDefault="00B77CD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3B7359" w:rsidRDefault="00B77CDB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Övriga rättigheter i anslutning till behandling av personuppgifter</w:t>
            </w:r>
          </w:p>
        </w:tc>
        <w:tc>
          <w:tcPr>
            <w:tcW w:w="8242" w:type="dxa"/>
          </w:tcPr>
          <w:p w:rsidR="003B7359" w:rsidRDefault="003B73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83AFF" w:rsidRDefault="00A83AFF"/>
    <w:sectPr w:rsidR="00A83AFF">
      <w:pgSz w:w="11910" w:h="16840"/>
      <w:pgMar w:top="460" w:right="2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DD7"/>
    <w:multiLevelType w:val="hybridMultilevel"/>
    <w:tmpl w:val="76A86AD4"/>
    <w:lvl w:ilvl="0" w:tplc="ABB26F50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A64017E">
      <w:numFmt w:val="bullet"/>
      <w:lvlText w:val="•"/>
      <w:lvlJc w:val="left"/>
      <w:pPr>
        <w:ind w:left="1026" w:hanging="123"/>
      </w:pPr>
      <w:rPr>
        <w:rFonts w:hint="default"/>
      </w:rPr>
    </w:lvl>
    <w:lvl w:ilvl="2" w:tplc="BB3EC6B6">
      <w:numFmt w:val="bullet"/>
      <w:lvlText w:val="•"/>
      <w:lvlJc w:val="left"/>
      <w:pPr>
        <w:ind w:left="1912" w:hanging="123"/>
      </w:pPr>
      <w:rPr>
        <w:rFonts w:hint="default"/>
      </w:rPr>
    </w:lvl>
    <w:lvl w:ilvl="3" w:tplc="C94299CE">
      <w:numFmt w:val="bullet"/>
      <w:lvlText w:val="•"/>
      <w:lvlJc w:val="left"/>
      <w:pPr>
        <w:ind w:left="2799" w:hanging="123"/>
      </w:pPr>
      <w:rPr>
        <w:rFonts w:hint="default"/>
      </w:rPr>
    </w:lvl>
    <w:lvl w:ilvl="4" w:tplc="12F6C120">
      <w:numFmt w:val="bullet"/>
      <w:lvlText w:val="•"/>
      <w:lvlJc w:val="left"/>
      <w:pPr>
        <w:ind w:left="3685" w:hanging="123"/>
      </w:pPr>
      <w:rPr>
        <w:rFonts w:hint="default"/>
      </w:rPr>
    </w:lvl>
    <w:lvl w:ilvl="5" w:tplc="7F0EA262">
      <w:numFmt w:val="bullet"/>
      <w:lvlText w:val="•"/>
      <w:lvlJc w:val="left"/>
      <w:pPr>
        <w:ind w:left="4572" w:hanging="123"/>
      </w:pPr>
      <w:rPr>
        <w:rFonts w:hint="default"/>
      </w:rPr>
    </w:lvl>
    <w:lvl w:ilvl="6" w:tplc="F9BAD8B8">
      <w:numFmt w:val="bullet"/>
      <w:lvlText w:val="•"/>
      <w:lvlJc w:val="left"/>
      <w:pPr>
        <w:ind w:left="5458" w:hanging="123"/>
      </w:pPr>
      <w:rPr>
        <w:rFonts w:hint="default"/>
      </w:rPr>
    </w:lvl>
    <w:lvl w:ilvl="7" w:tplc="AB9067BE">
      <w:numFmt w:val="bullet"/>
      <w:lvlText w:val="•"/>
      <w:lvlJc w:val="left"/>
      <w:pPr>
        <w:ind w:left="6344" w:hanging="123"/>
      </w:pPr>
      <w:rPr>
        <w:rFonts w:hint="default"/>
      </w:rPr>
    </w:lvl>
    <w:lvl w:ilvl="8" w:tplc="6F86DECA">
      <w:numFmt w:val="bullet"/>
      <w:lvlText w:val="•"/>
      <w:lvlJc w:val="left"/>
      <w:pPr>
        <w:ind w:left="7231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9"/>
    <w:rsid w:val="003A3064"/>
    <w:rsid w:val="003B7359"/>
    <w:rsid w:val="009D0A79"/>
    <w:rsid w:val="00A83AFF"/>
    <w:rsid w:val="00B77CDB"/>
    <w:rsid w:val="00C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nais-suomi.oaevpiiri@oikeus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unais-suomi.oaevpiiri@oike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nais-suomi.oaevpiiri@oikeus.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unais-suomi.oaevpiiri@oikeu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Semantix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Paasikari Päivi</cp:lastModifiedBy>
  <cp:revision>4</cp:revision>
  <dcterms:created xsi:type="dcterms:W3CDTF">2017-12-11T11:47:00Z</dcterms:created>
  <dcterms:modified xsi:type="dcterms:W3CDTF">2017-12-11T12:40:00Z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